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楷体_GB2312" w:eastAsia="楷体_GB2312"/>
          <w:sz w:val="28"/>
          <w:szCs w:val="28"/>
        </w:rPr>
      </w:pPr>
      <w:bookmarkStart w:id="0" w:name="_Toc101167304"/>
      <w:r>
        <w:rPr>
          <w:rFonts w:hint="eastAsia" w:ascii="楷体_GB2312" w:eastAsia="楷体_GB2312"/>
          <w:sz w:val="28"/>
          <w:szCs w:val="28"/>
        </w:rPr>
        <w:t>附件一</w:t>
      </w:r>
      <w:r>
        <w:rPr>
          <w:rFonts w:ascii="楷体_GB2312" w:eastAsia="楷体_GB2312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参赛作品登记表</w:t>
      </w:r>
    </w:p>
    <w:p>
      <w:pPr>
        <w:spacing w:line="46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46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</w:p>
    <w:tbl>
      <w:tblPr>
        <w:tblStyle w:val="4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21"/>
        <w:gridCol w:w="1701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微课程□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应用课例□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申报作者信息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通信地址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（包括作品简介、特色亮点等，字数在200-300之间）</w:t>
            </w: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应用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（对微课程作品的应用效果情况作阐述，字数在100-200之间）</w:t>
            </w: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在“视频课例平台”共享</w:t>
            </w:r>
          </w:p>
          <w:p>
            <w:pPr>
              <w:adjustRightInd w:val="0"/>
              <w:snapToGrid w:val="0"/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 </w:t>
            </w:r>
          </w:p>
        </w:tc>
      </w:tr>
    </w:tbl>
    <w:p>
      <w:pPr>
        <w:spacing w:line="46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我在此申明所报送作品是我（们）的原创作品，不涉及他人的著作权。               </w:t>
      </w:r>
    </w:p>
    <w:p>
      <w:pPr>
        <w:spacing w:line="46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>申报作者签名：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          </w:t>
      </w:r>
    </w:p>
    <w:p>
      <w:pPr>
        <w:spacing w:line="46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所在学校盖章：</w:t>
      </w:r>
    </w:p>
    <w:p>
      <w:pPr>
        <w:spacing w:line="460" w:lineRule="exact"/>
        <w:ind w:firstLine="4200" w:firstLineChars="15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  <w:r>
        <w:rPr>
          <w:rFonts w:hint="eastAsia" w:ascii="仿宋_GB2312" w:hAnsi="Calibri" w:eastAsia="仿宋_GB2312"/>
          <w:sz w:val="28"/>
          <w:szCs w:val="28"/>
        </w:rPr>
        <w:t>年   月    日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End w:id="0"/>
      <w:bookmarkStart w:id="1" w:name="_Toc101167305"/>
      <w:bookmarkEnd w:id="1"/>
    </w:p>
    <w:p>
      <w:pPr>
        <w:spacing w:line="460" w:lineRule="exact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二：</w:t>
      </w:r>
      <w:r>
        <w:rPr>
          <w:rFonts w:hint="eastAsia" w:ascii="仿宋_GB2312" w:hAnsi="宋体" w:eastAsia="仿宋_GB2312"/>
          <w:b/>
          <w:sz w:val="28"/>
        </w:rPr>
        <w:t>微课程评选</w:t>
      </w:r>
      <w:r>
        <w:rPr>
          <w:rFonts w:ascii="仿宋_GB2312" w:hAnsi="宋体" w:eastAsia="仿宋_GB2312"/>
          <w:b/>
          <w:sz w:val="28"/>
        </w:rPr>
        <w:t>指标</w:t>
      </w:r>
    </w:p>
    <w:p>
      <w:pPr>
        <w:spacing w:line="460" w:lineRule="exact"/>
        <w:rPr>
          <w:rFonts w:ascii="仿宋_GB2312" w:hAnsi="宋体" w:eastAsia="仿宋_GB2312"/>
          <w:b/>
          <w:sz w:val="28"/>
        </w:rPr>
      </w:pPr>
    </w:p>
    <w:tbl>
      <w:tblPr>
        <w:tblStyle w:val="4"/>
        <w:tblpPr w:leftFromText="180" w:rightFromText="180" w:vertAnchor="text" w:horzAnchor="margin" w:tblpY="-62"/>
        <w:tblW w:w="8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0"/>
        <w:gridCol w:w="4544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评选模块</w:t>
            </w:r>
          </w:p>
        </w:tc>
        <w:tc>
          <w:tcPr>
            <w:tcW w:w="1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指标</w:t>
            </w:r>
          </w:p>
        </w:tc>
        <w:tc>
          <w:tcPr>
            <w:tcW w:w="4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观察点</w:t>
            </w:r>
          </w:p>
        </w:tc>
        <w:tc>
          <w:tcPr>
            <w:tcW w:w="115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设计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（30分）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目标设计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目标制定符合课程标准要求，同时切合目标受众的接受程度</w:t>
            </w:r>
          </w:p>
        </w:tc>
        <w:tc>
          <w:tcPr>
            <w:tcW w:w="1156" w:type="dxa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2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框架设计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课程框架设计科学严谨，能完整体现整个课程的精髓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2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内容设计</w:t>
            </w:r>
          </w:p>
        </w:tc>
        <w:tc>
          <w:tcPr>
            <w:tcW w:w="4544" w:type="dxa"/>
            <w:tcBorders>
              <w:left w:val="single" w:color="auto" w:sz="4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内容设计科学，能做到联系实际，重点突出、难点突破</w:t>
            </w:r>
          </w:p>
        </w:tc>
        <w:tc>
          <w:tcPr>
            <w:tcW w:w="1156" w:type="dxa"/>
            <w:tcBorders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82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内容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实施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（40分）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内容呈现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内容呈现严谨正确，突出重点，具有趣味性和启发性</w:t>
            </w:r>
          </w:p>
        </w:tc>
        <w:tc>
          <w:tcPr>
            <w:tcW w:w="1156" w:type="dxa"/>
            <w:tcBorders>
              <w:top w:val="single" w:color="auto" w:sz="8" w:space="0"/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2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内容组织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情境问题导入设置合理，教学环节自然流畅；技术手段应用能明确关联学习目标，评价能够有效促进</w:t>
            </w:r>
            <w:r>
              <w:rPr>
                <w:rFonts w:ascii="宋体" w:hAnsi="宋体"/>
                <w:szCs w:val="21"/>
              </w:rPr>
              <w:t>学习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2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学习效果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有效达成学习目标，不同层次的学生都得到相应提高、获得发展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82" w:type="dxa"/>
            <w:vMerge w:val="restart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创新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价值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（30分）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技术质量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画面声音清晰，界面友好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82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作品形式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形式新颖，创意性、趣味性和启发性强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2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</w:pPr>
          </w:p>
        </w:tc>
        <w:tc>
          <w:tcPr>
            <w:tcW w:w="110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推广价值</w:t>
            </w:r>
          </w:p>
        </w:tc>
        <w:tc>
          <w:tcPr>
            <w:tcW w:w="4544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应用效果明显，具有推广价值</w:t>
            </w:r>
          </w:p>
        </w:tc>
        <w:tc>
          <w:tcPr>
            <w:tcW w:w="1156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margin" w:tblpY="592"/>
        <w:tblW w:w="8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39"/>
        <w:gridCol w:w="4544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评选模块</w:t>
            </w:r>
          </w:p>
        </w:tc>
        <w:tc>
          <w:tcPr>
            <w:tcW w:w="12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指标</w:t>
            </w:r>
          </w:p>
        </w:tc>
        <w:tc>
          <w:tcPr>
            <w:tcW w:w="4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观察点</w:t>
            </w:r>
          </w:p>
        </w:tc>
        <w:tc>
          <w:tcPr>
            <w:tcW w:w="115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设计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（3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目标设计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目标制定符合课程标准，能结合教材内容和学生实际与认知设定，三维目标</w:t>
            </w:r>
            <w:r>
              <w:rPr>
                <w:rFonts w:ascii="宋体" w:hAnsi="宋体"/>
                <w:szCs w:val="21"/>
              </w:rPr>
              <w:t>相互联系，融为一体</w:t>
            </w:r>
            <w:r>
              <w:rPr>
                <w:rFonts w:hint="eastAsia" w:ascii="宋体" w:hAnsi="宋体"/>
                <w:szCs w:val="21"/>
              </w:rPr>
              <w:t>，可操作、可检测</w:t>
            </w:r>
          </w:p>
        </w:tc>
        <w:tc>
          <w:tcPr>
            <w:tcW w:w="1156" w:type="dxa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内容设计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内容设计要素完整，结构严谨，容量适宜，重难点突出，活动恰当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技术应用</w:t>
            </w:r>
          </w:p>
        </w:tc>
        <w:tc>
          <w:tcPr>
            <w:tcW w:w="4544" w:type="dxa"/>
            <w:tcBorders>
              <w:left w:val="single" w:color="auto" w:sz="4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技术应用要体现出优势，注重学科特点，将信息技术与学科教学融合</w:t>
            </w:r>
          </w:p>
        </w:tc>
        <w:tc>
          <w:tcPr>
            <w:tcW w:w="1156" w:type="dxa"/>
            <w:tcBorders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43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实施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（35分）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color w:val="FF0000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内容组织严谨正确，能依据所设教学目标，合理确定教学容量、安排学生活动、选用教学资源；</w:t>
            </w:r>
            <w:r>
              <w:rPr>
                <w:rFonts w:ascii="宋体" w:hAnsi="宋体"/>
                <w:szCs w:val="21"/>
              </w:rPr>
              <w:t>灵活调动教学内容，主次</w:t>
            </w:r>
            <w:r>
              <w:rPr>
                <w:rFonts w:hint="eastAsia" w:ascii="宋体" w:hAnsi="宋体"/>
                <w:szCs w:val="21"/>
              </w:rPr>
              <w:t>清晰</w:t>
            </w:r>
            <w:r>
              <w:rPr>
                <w:rFonts w:ascii="宋体" w:hAnsi="宋体"/>
                <w:szCs w:val="21"/>
              </w:rPr>
              <w:t>，详略得当，使重点部分讲清讲透。</w:t>
            </w:r>
          </w:p>
        </w:tc>
        <w:tc>
          <w:tcPr>
            <w:tcW w:w="1156" w:type="dxa"/>
            <w:tcBorders>
              <w:top w:val="single" w:color="auto" w:sz="8" w:space="0"/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教学组织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能够采取多种策略组织教学，教学环节合理、自然、流畅；教学中突出学生的主体地位，课堂教学氛围和谐、民主、向上，学生的情感、行动和思维参与积极、活跃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有效达成教学目标；不同层次的学生都得到相应的提高、获得发展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教学反思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反思要具有针对性，对技术应用成效分析明确；问题挖掘准确，改进设想具体、有针对性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能力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信息素养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信息技术应用于课堂教学的能力强，体现出技术使用合理，能与学科有效融合；充分呈现在新媒体环境下学与教方式的转变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restart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技术与</w:t>
            </w:r>
            <w:r>
              <w:t>创新</w:t>
            </w:r>
            <w:r>
              <w:rPr>
                <w:rFonts w:hint="eastAsia"/>
              </w:rPr>
              <w:t>（25分）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技术质量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画面声音清晰，呈现真实有效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3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创新行为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具有价值的实践创新行为，体现出信息技术在教与学过程中的独特优势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43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推广价值</w:t>
            </w:r>
          </w:p>
        </w:tc>
        <w:tc>
          <w:tcPr>
            <w:tcW w:w="4544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实际教学效果明显，具有推广价值</w:t>
            </w:r>
          </w:p>
        </w:tc>
        <w:tc>
          <w:tcPr>
            <w:tcW w:w="1156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ascii="仿宋_GB2312" w:eastAsia="仿宋_GB2312"/>
          <w:bCs/>
          <w:sz w:val="28"/>
          <w:szCs w:val="28"/>
        </w:rPr>
        <w:t>三：</w:t>
      </w:r>
      <w:r>
        <w:rPr>
          <w:rFonts w:hint="eastAsia" w:ascii="仿宋_GB2312" w:eastAsia="仿宋_GB2312"/>
          <w:b/>
          <w:bCs/>
          <w:sz w:val="28"/>
          <w:szCs w:val="28"/>
        </w:rPr>
        <w:t>教学案例评选</w:t>
      </w:r>
      <w:r>
        <w:rPr>
          <w:rFonts w:ascii="仿宋_GB2312" w:eastAsia="仿宋_GB2312"/>
          <w:b/>
          <w:bCs/>
          <w:sz w:val="28"/>
          <w:szCs w:val="28"/>
        </w:rPr>
        <w:t>指标</w:t>
      </w:r>
    </w:p>
    <w:p>
      <w:bookmarkStart w:id="2" w:name="_GoBack"/>
      <w:bookmarkEnd w:id="2"/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28AA"/>
    <w:rsid w:val="6F392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2018-03-16T00:44:00Z</dcterms:created>
  <dc:creator>shake shake</dc:creator>
  <cp:lastModifiedBy>shake shake</cp:lastModifiedBy>
  <dcterms:modified xsi:type="dcterms:W3CDTF">2018-03-16T00:44:39Z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