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9FC92">
      <w:pPr>
        <w:spacing w:line="520" w:lineRule="exact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校服征订单</w:t>
      </w:r>
    </w:p>
    <w:p w14:paraId="0FEB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atLeast"/>
        <w:ind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尊敬的家长:您好!</w:t>
      </w:r>
    </w:p>
    <w:p w14:paraId="6F5BD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atLeast"/>
        <w:ind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ascii="仿宋" w:hAnsi="仿宋" w:eastAsia="仿宋" w:cs="仿宋"/>
          <w:kern w:val="2"/>
          <w:sz w:val="21"/>
          <w:szCs w:val="21"/>
          <w:lang w:bidi="ar-SA"/>
        </w:rPr>
        <w:t>校服作为校园文化的具象化符号，是学校精神风貌的流动载体。穿着一套优雅得体的校服有助于培养学生审美、自律、平等和礼仪等优秀品质。</w:t>
      </w:r>
    </w:p>
    <w:p w14:paraId="7F772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atLeast"/>
        <w:ind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学校与家长委员会秉持公平、公正、民主、透明原则，在多家校服企业中对比甄选，最终确定江苏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苏美达伊顿纪德品牌管理有限公司为我校提供校园服饰方案。</w:t>
      </w:r>
    </w:p>
    <w:p w14:paraId="5C9C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atLeast"/>
        <w:ind w:firstLine="420" w:firstLineChars="200"/>
        <w:jc w:val="both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选定ETON KIDD品牌为此次校服制作方已经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通过家委会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投票通过，为保证校服工作圆满完成，校服为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自愿征订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，感谢家长的支持和配合。</w:t>
      </w:r>
    </w:p>
    <w:p w14:paraId="4228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atLeast"/>
        <w:ind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此次方案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共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>夏装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、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</w:rPr>
        <w:t>_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>春秋装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</w:rPr>
        <w:t>_</w:t>
      </w:r>
      <w:r>
        <w:rPr>
          <w:rFonts w:hint="eastAsia" w:ascii="仿宋" w:hAnsi="仿宋" w:eastAsia="仿宋" w:cs="仿宋"/>
          <w:sz w:val="21"/>
          <w:szCs w:val="21"/>
          <w:u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运动装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 xml:space="preserve">、 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冬装 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>四个</w:t>
      </w:r>
      <w:r>
        <w:rPr>
          <w:rFonts w:hint="eastAsia" w:ascii="仿宋" w:hAnsi="仿宋" w:eastAsia="仿宋" w:cs="仿宋"/>
          <w:sz w:val="21"/>
          <w:szCs w:val="21"/>
        </w:rPr>
        <w:t>套系，具体如下：</w:t>
      </w:r>
    </w:p>
    <w:tbl>
      <w:tblPr>
        <w:tblStyle w:val="2"/>
        <w:tblpPr w:leftFromText="180" w:rightFromText="180" w:vertAnchor="text" w:horzAnchor="page" w:tblpX="902" w:tblpY="191"/>
        <w:tblOverlap w:val="never"/>
        <w:tblW w:w="10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4337"/>
        <w:gridCol w:w="832"/>
        <w:gridCol w:w="4337"/>
      </w:tblGrid>
      <w:tr w14:paraId="7FC1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2C81BFE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0" w:name="_Hlk5609706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02613FE5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（1080元/套）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34D29ED6">
            <w:pPr>
              <w:widowControl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07AC05D8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（1080元/套）</w:t>
            </w:r>
          </w:p>
        </w:tc>
      </w:tr>
      <w:tr w14:paraId="670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vMerge w:val="restart"/>
            <w:tcBorders>
              <w:tl2br w:val="nil"/>
              <w:tr2bl w:val="nil"/>
            </w:tcBorders>
            <w:vAlign w:val="center"/>
          </w:tcPr>
          <w:p w14:paraId="2C416965"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男</w:t>
            </w:r>
          </w:p>
        </w:tc>
        <w:tc>
          <w:tcPr>
            <w:tcW w:w="4337" w:type="dxa"/>
            <w:tcBorders>
              <w:tl2br w:val="nil"/>
              <w:tr2bl w:val="nil"/>
            </w:tcBorders>
            <w:vAlign w:val="center"/>
          </w:tcPr>
          <w:p w14:paraId="464C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运动棒球服上衣（155元/件）</w:t>
            </w: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vAlign w:val="center"/>
          </w:tcPr>
          <w:p w14:paraId="11C98816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女</w:t>
            </w: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9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运动棒球服上衣（155元/件）</w:t>
            </w:r>
          </w:p>
        </w:tc>
      </w:tr>
      <w:tr w14:paraId="37C9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036F55B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vAlign w:val="center"/>
          </w:tcPr>
          <w:p w14:paraId="5F16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运动棒球服长裤（85元/件）</w:t>
            </w: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7C86572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6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运动棒球服长裤（85元/件）</w:t>
            </w:r>
          </w:p>
        </w:tc>
      </w:tr>
      <w:tr w14:paraId="0060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152A323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vAlign w:val="center"/>
          </w:tcPr>
          <w:p w14:paraId="4B8E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长袖T恤（75元/件）</w:t>
            </w: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3777805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B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长袖T恤（75元/件）</w:t>
            </w:r>
          </w:p>
        </w:tc>
      </w:tr>
      <w:tr w14:paraId="2E11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47EED9CB">
            <w:pPr>
              <w:widowControl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vAlign w:val="center"/>
          </w:tcPr>
          <w:p w14:paraId="2796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短袖T恤（2件）（70元/件）</w:t>
            </w: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2274059C">
            <w:pPr>
              <w:widowControl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7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短袖T恤（2件）（70元/件）</w:t>
            </w:r>
          </w:p>
        </w:tc>
      </w:tr>
      <w:tr w14:paraId="01FE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65978117">
            <w:pPr>
              <w:widowControl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vAlign w:val="center"/>
          </w:tcPr>
          <w:p w14:paraId="2B0C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短裤（2件）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（55元/件）</w:t>
            </w: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14835170">
            <w:pPr>
              <w:widowControl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8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短裤（2件）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（55元/件）</w:t>
            </w:r>
          </w:p>
        </w:tc>
      </w:tr>
      <w:tr w14:paraId="4FE4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3E388A23">
            <w:pPr>
              <w:widowControl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vAlign w:val="center"/>
          </w:tcPr>
          <w:p w14:paraId="1ADB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长袖白衬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（70元/件）</w:t>
            </w: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4BDCD501">
            <w:pPr>
              <w:widowControl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长袖白衬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（70元/件）</w:t>
            </w:r>
          </w:p>
        </w:tc>
      </w:tr>
      <w:tr w14:paraId="34B6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372166CE">
            <w:pPr>
              <w:widowControl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vAlign w:val="center"/>
          </w:tcPr>
          <w:p w14:paraId="09AE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西裤（85元/件）</w:t>
            </w: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37896733">
            <w:pPr>
              <w:widowControl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2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短裙（85元/件）</w:t>
            </w:r>
          </w:p>
        </w:tc>
      </w:tr>
      <w:tr w14:paraId="2034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1B39A56C">
            <w:pPr>
              <w:widowControl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vAlign w:val="center"/>
          </w:tcPr>
          <w:p w14:paraId="4C12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冬装（270元/件）</w:t>
            </w: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6A464A47">
            <w:pPr>
              <w:widowControl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1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冬装（270元/件）</w:t>
            </w:r>
          </w:p>
        </w:tc>
      </w:tr>
      <w:tr w14:paraId="6DEE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022A10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vAlign w:val="center"/>
          </w:tcPr>
          <w:p w14:paraId="0688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冬裤（90元/件）</w:t>
            </w: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69B270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5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冬裤（90元/件）</w:t>
            </w:r>
          </w:p>
        </w:tc>
      </w:tr>
      <w:bookmarkEnd w:id="0"/>
    </w:tbl>
    <w:tbl>
      <w:tblPr>
        <w:tblStyle w:val="2"/>
        <w:tblpPr w:leftFromText="180" w:rightFromText="180" w:vertAnchor="text" w:horzAnchor="page" w:tblpX="900" w:tblpY="690"/>
        <w:tblW w:w="10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001"/>
        <w:gridCol w:w="2072"/>
        <w:gridCol w:w="2072"/>
        <w:gridCol w:w="2072"/>
      </w:tblGrid>
      <w:tr w14:paraId="10AAA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836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1" w:name="_Hlk107220612"/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13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春秋装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195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夏装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F40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冬装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0350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运动服</w:t>
            </w:r>
          </w:p>
        </w:tc>
      </w:tr>
      <w:tr w14:paraId="5C50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品牌名称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F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伊顿纪德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伊顿纪德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7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伊顿纪德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伊顿纪德</w:t>
            </w:r>
          </w:p>
        </w:tc>
      </w:tr>
      <w:tr w14:paraId="6A17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材质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1.长袖衬衫：96.5%棉3.5%氨纶</w:t>
            </w:r>
          </w:p>
          <w:p w14:paraId="11AF8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2.西裤：60%棉+40%聚酯纤维</w:t>
            </w:r>
          </w:p>
          <w:p w14:paraId="6C04D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3.短裙：面料：100%聚酯纤维，里料：100%棉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A2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1.短袖T恤：65%棉35%聚酯纤维</w:t>
            </w:r>
          </w:p>
          <w:p w14:paraId="4BF1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2.短裤：80%棉20%聚酯纤维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1.棉服: 外皮面料：100%聚酯纤维，里料：100%聚酯纤维，内胆：100%聚酯纤维</w:t>
            </w:r>
          </w:p>
          <w:p w14:paraId="736A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2.长裤：45%棉55%聚酯纤维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50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1.运动套装（上衣+裤子）：60%棉 40%聚酯纤维</w:t>
            </w:r>
          </w:p>
          <w:p w14:paraId="3A68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2.长袖T恤：100%棉</w:t>
            </w:r>
          </w:p>
        </w:tc>
      </w:tr>
      <w:bookmarkEnd w:id="1"/>
    </w:tbl>
    <w:p w14:paraId="04D47FC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bookmarkStart w:id="2" w:name="_Hlk107219051"/>
    </w:p>
    <w:p w14:paraId="38267106">
      <w:pPr>
        <w:keepNext w:val="0"/>
        <w:keepLines w:val="0"/>
        <w:widowControl/>
        <w:suppressLineNumbers w:val="0"/>
        <w:ind w:firstLine="42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  <w:t>本次校服征订秉持自愿原则，如您同意，请填写以下回执单，感谢您的理解与配合，期待学子们以美好姿态，开启崭新校园生活。</w:t>
      </w:r>
    </w:p>
    <w:p w14:paraId="74F0F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238" w:firstLine="420" w:firstLineChars="200"/>
        <w:jc w:val="left"/>
        <w:textAlignment w:val="auto"/>
        <w:rPr>
          <w:rFonts w:hint="eastAsia" w:ascii="微软雅黑" w:hAnsi="微软雅黑" w:eastAsia="微软雅黑" w:cs="楷体_GB231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楷体_GB2312"/>
          <w:sz w:val="21"/>
          <w:szCs w:val="21"/>
          <w:lang w:val="en-US" w:eastAsia="zh-CN"/>
        </w:rPr>
        <w:t xml:space="preserve">                                  </w:t>
      </w:r>
    </w:p>
    <w:p w14:paraId="34E0B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238" w:firstLine="422" w:firstLineChars="200"/>
        <w:jc w:val="right"/>
        <w:textAlignment w:val="auto"/>
        <w:rPr>
          <w:rFonts w:hint="default" w:ascii="微软雅黑" w:hAnsi="微软雅黑" w:eastAsia="微软雅黑" w:cs="楷体_GB2312"/>
          <w:sz w:val="21"/>
          <w:szCs w:val="21"/>
          <w:lang w:val="en-US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上海市青浦区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崧文小学</w:t>
      </w:r>
    </w:p>
    <w:p w14:paraId="360E91FC">
      <w:pPr>
        <w:snapToGrid w:val="0"/>
        <w:ind w:firstLine="630" w:firstLineChars="300"/>
        <w:jc w:val="both"/>
        <w:rPr>
          <w:rFonts w:hint="eastAsia" w:ascii="微软雅黑" w:hAnsi="微软雅黑" w:eastAsia="微软雅黑" w:cs="楷体_GB231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楷体_GB2312"/>
          <w:sz w:val="21"/>
          <w:szCs w:val="21"/>
        </w:rPr>
        <w:t>-------------------------------------------------------------------------------------------------------</w:t>
      </w:r>
    </w:p>
    <w:p w14:paraId="72DC03A7">
      <w:pPr>
        <w:snapToGrid w:val="0"/>
        <w:jc w:val="center"/>
        <w:rPr>
          <w:rFonts w:hint="eastAsia" w:ascii="微软雅黑" w:hAnsi="微软雅黑" w:eastAsia="微软雅黑" w:cs="楷体_GB2312"/>
          <w:b/>
          <w:sz w:val="21"/>
          <w:szCs w:val="21"/>
        </w:rPr>
      </w:pPr>
      <w:r>
        <w:rPr>
          <w:rFonts w:hint="eastAsia" w:ascii="微软雅黑" w:hAnsi="微软雅黑" w:eastAsia="微软雅黑" w:cs="楷体_GB2312"/>
          <w:b/>
          <w:sz w:val="21"/>
          <w:szCs w:val="21"/>
        </w:rPr>
        <w:t>回 执 单</w:t>
      </w:r>
    </w:p>
    <w:p w14:paraId="315B164A">
      <w:pPr>
        <w:snapToGrid w:val="0"/>
        <w:jc w:val="center"/>
        <w:rPr>
          <w:rFonts w:hint="default" w:ascii="微软雅黑" w:hAnsi="微软雅黑" w:eastAsia="微软雅黑" w:cs="楷体_GB2312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楷体_GB2312"/>
          <w:b/>
          <w:sz w:val="21"/>
          <w:szCs w:val="21"/>
          <w:lang w:val="en-US" w:eastAsia="zh-CN"/>
        </w:rPr>
        <w:t xml:space="preserve">                                       是否自愿订购     </w:t>
      </w:r>
      <w:r>
        <w:rPr>
          <w:rFonts w:hint="eastAsia" w:ascii="微软雅黑" w:hAnsi="微软雅黑" w:eastAsia="微软雅黑" w:cs="楷体_GB2312"/>
          <w:b/>
          <w:sz w:val="21"/>
          <w:szCs w:val="21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楷体_GB2312"/>
          <w:b/>
          <w:sz w:val="21"/>
          <w:szCs w:val="21"/>
          <w:lang w:val="en-US" w:eastAsia="zh-CN"/>
        </w:rPr>
        <w:t xml:space="preserve"> 是      </w:t>
      </w:r>
      <w:r>
        <w:rPr>
          <w:rFonts w:hint="eastAsia" w:ascii="微软雅黑" w:hAnsi="微软雅黑" w:eastAsia="微软雅黑" w:cs="楷体_GB2312"/>
          <w:b/>
          <w:sz w:val="21"/>
          <w:szCs w:val="21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楷体_GB2312"/>
          <w:b/>
          <w:sz w:val="21"/>
          <w:szCs w:val="21"/>
          <w:lang w:val="en-US" w:eastAsia="zh-CN"/>
        </w:rPr>
        <w:t xml:space="preserve"> 否   </w:t>
      </w:r>
    </w:p>
    <w:bookmarkEnd w:id="2"/>
    <w:tbl>
      <w:tblPr>
        <w:tblStyle w:val="3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762"/>
        <w:gridCol w:w="1150"/>
        <w:gridCol w:w="1613"/>
        <w:gridCol w:w="1700"/>
        <w:gridCol w:w="2304"/>
      </w:tblGrid>
      <w:tr w14:paraId="77AA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239729D">
            <w:pPr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bookmarkStart w:id="3" w:name="_Hlk107405121"/>
            <w:r>
              <w:rPr>
                <w:rFonts w:hint="eastAsia" w:ascii="仿宋" w:hAnsi="仿宋" w:eastAsia="仿宋" w:cs="仿宋"/>
                <w:sz w:val="21"/>
                <w:szCs w:val="21"/>
              </w:rPr>
              <w:t>班级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F829DEF">
            <w:pPr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FE1A876">
            <w:pPr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EA99E5D">
            <w:pPr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身高（cm</w:t>
            </w:r>
            <w:r>
              <w:rPr>
                <w:rFonts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108C97B">
            <w:pPr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体重(</w:t>
            </w:r>
            <w:r>
              <w:rPr>
                <w:rFonts w:ascii="仿宋" w:hAnsi="仿宋" w:eastAsia="仿宋" w:cs="仿宋"/>
                <w:sz w:val="21"/>
                <w:szCs w:val="21"/>
              </w:rPr>
              <w:t>kg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)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0967F19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916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1FEA45">
            <w:pPr>
              <w:snapToGrid w:val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397E">
            <w:pPr>
              <w:snapToGrid w:val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B948">
            <w:pPr>
              <w:snapToGrid w:val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41E">
            <w:pPr>
              <w:snapToGrid w:val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642A">
            <w:pPr>
              <w:snapToGrid w:val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BE17A">
            <w:pPr>
              <w:snapToGrid w:val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0CE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A573">
            <w:pPr>
              <w:snapToGrid w:val="0"/>
              <w:ind w:firstLine="420" w:firstLineChars="2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我同意授权上海市青浦区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崧文小学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及家长委员会开展校服款式选定、价格洽谈、合同签署、签收和分发等相关事项。 </w:t>
            </w:r>
          </w:p>
          <w:p w14:paraId="79DFF409">
            <w:pPr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家长签名：</w:t>
            </w:r>
          </w:p>
          <w:p w14:paraId="6C8826FB">
            <w:pPr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                           </w:t>
            </w:r>
          </w:p>
          <w:p w14:paraId="1EE38166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联系电话：</w:t>
            </w:r>
          </w:p>
          <w:p w14:paraId="43C84C35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6F3481B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日     期：</w:t>
            </w:r>
          </w:p>
        </w:tc>
      </w:tr>
      <w:bookmarkEnd w:id="3"/>
    </w:tbl>
    <w:p w14:paraId="49360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1"/>
          <w:szCs w:val="21"/>
        </w:rPr>
      </w:pPr>
    </w:p>
    <w:sectPr>
      <w:pgSz w:w="11906" w:h="16838"/>
      <w:pgMar w:top="60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ZjhjYzk0ZjU0ZTJjMTY3MTRmODExODEyMWIyZTkifQ=="/>
  </w:docVars>
  <w:rsids>
    <w:rsidRoot w:val="25846B5C"/>
    <w:rsid w:val="034B7D4A"/>
    <w:rsid w:val="06AD5F0A"/>
    <w:rsid w:val="14074748"/>
    <w:rsid w:val="176020DA"/>
    <w:rsid w:val="25846B5C"/>
    <w:rsid w:val="2B134D3E"/>
    <w:rsid w:val="31C23855"/>
    <w:rsid w:val="33CD5421"/>
    <w:rsid w:val="352D3839"/>
    <w:rsid w:val="37143587"/>
    <w:rsid w:val="37DC6D11"/>
    <w:rsid w:val="3E985397"/>
    <w:rsid w:val="47FF7C31"/>
    <w:rsid w:val="4A7320CA"/>
    <w:rsid w:val="4CB54993"/>
    <w:rsid w:val="4D226519"/>
    <w:rsid w:val="503B383D"/>
    <w:rsid w:val="52F302BF"/>
    <w:rsid w:val="58551486"/>
    <w:rsid w:val="69346396"/>
    <w:rsid w:val="6BC50993"/>
    <w:rsid w:val="7F2E23E3"/>
    <w:rsid w:val="7F8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967</Characters>
  <Lines>0</Lines>
  <Paragraphs>0</Paragraphs>
  <TotalTime>6</TotalTime>
  <ScaleCrop>false</ScaleCrop>
  <LinksUpToDate>false</LinksUpToDate>
  <CharactersWithSpaces>1186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2023-04-04T07:04:00Z</dcterms:created>
  <dc:creator>熹諨鍀♥∈絹</dc:creator>
  <cp:lastModifiedBy>顾恒卓</cp:lastModifiedBy>
  <cp:lastPrinted>2023-05-17T05:47:00Z</cp:lastPrinted>
  <dcterms:modified xsi:type="dcterms:W3CDTF">2025-07-30T07:19:10Z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66DAA2D50C5546469A90EB54FA52AC7F_13</vt:lpwstr>
  </property>
  <property fmtid="{D5CDD505-2E9C-101B-9397-08002B2CF9AE}" pid="4" name="KSOTemplateDocerSaveRecord">
    <vt:lpwstr>eyJoZGlkIjoiZmQ4NjQxZmMyY2E5ODljNzY3ZDk1ODkwMThjY2JhNDQiLCJ1c2VySWQiOiIxNjYyNzI4NzE5In0=</vt:lpwstr>
  </property>
</Properties>
</file>